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174F" w:rsidRPr="0003597B" w:rsidRDefault="00671B71" w:rsidP="00671B71">
      <w:pPr>
        <w:jc w:val="center"/>
        <w:rPr>
          <w:b/>
          <w:color w:val="A0B2CC"/>
          <w:sz w:val="28"/>
          <w:lang w:val="en-GB"/>
        </w:rPr>
      </w:pPr>
      <w:bookmarkStart w:id="0" w:name="_GoBack"/>
      <w:bookmarkEnd w:id="0"/>
      <w:r w:rsidRPr="0003597B">
        <w:rPr>
          <w:b/>
          <w:smallCaps/>
          <w:color w:val="A0B2CC"/>
          <w:sz w:val="36"/>
          <w:lang w:val="en-GB"/>
        </w:rPr>
        <w:t>I</w:t>
      </w:r>
      <w:r w:rsidRPr="0003597B">
        <w:rPr>
          <w:b/>
          <w:color w:val="A0B2CC"/>
          <w:sz w:val="28"/>
          <w:lang w:val="en-GB"/>
        </w:rPr>
        <w:t xml:space="preserve"> N F O R M A T I O N</w:t>
      </w:r>
    </w:p>
    <w:p w:rsidR="00D2174F" w:rsidRPr="0003597B" w:rsidRDefault="00D2174F" w:rsidP="00D2174F">
      <w:pPr>
        <w:rPr>
          <w:sz w:val="28"/>
          <w:lang w:val="en-GB"/>
        </w:rPr>
      </w:pPr>
    </w:p>
    <w:p w:rsidR="00D2174F" w:rsidRPr="0003597B" w:rsidRDefault="00D2174F" w:rsidP="00D2174F">
      <w:pPr>
        <w:rPr>
          <w:sz w:val="28"/>
          <w:lang w:val="en-GB"/>
        </w:rPr>
      </w:pPr>
    </w:p>
    <w:p w:rsidR="003059AF" w:rsidRPr="00123094" w:rsidRDefault="003059AF" w:rsidP="003059AF">
      <w:pPr>
        <w:adjustRightInd w:val="0"/>
        <w:jc w:val="center"/>
        <w:rPr>
          <w:rFonts w:cs="Times New Roman"/>
          <w:b/>
          <w:lang w:val="en-GB"/>
        </w:rPr>
      </w:pPr>
      <w:r w:rsidRPr="00123094">
        <w:rPr>
          <w:rFonts w:cs="Times New Roman"/>
          <w:b/>
          <w:lang w:val="en-GB"/>
        </w:rPr>
        <w:t>Figures and Facts</w:t>
      </w:r>
    </w:p>
    <w:p w:rsidR="00A104A1" w:rsidRPr="00123094" w:rsidRDefault="00A104A1" w:rsidP="00A104A1">
      <w:pPr>
        <w:adjustRightInd w:val="0"/>
        <w:ind w:firstLine="709"/>
        <w:jc w:val="both"/>
        <w:rPr>
          <w:bCs/>
          <w:sz w:val="22"/>
          <w:szCs w:val="22"/>
          <w:lang w:val="en-GB"/>
        </w:rPr>
      </w:pPr>
    </w:p>
    <w:p w:rsidR="00EE38A2" w:rsidRPr="00123094" w:rsidRDefault="00EE38A2" w:rsidP="00EE38A2">
      <w:pPr>
        <w:adjustRightInd w:val="0"/>
        <w:jc w:val="both"/>
        <w:rPr>
          <w:rFonts w:cs="Times New Roman"/>
          <w:bCs/>
          <w:lang w:val="en-GB"/>
        </w:rPr>
      </w:pPr>
      <w:r w:rsidRPr="00123094">
        <w:rPr>
          <w:rFonts w:cs="Times New Roman"/>
          <w:b/>
          <w:i/>
          <w:lang w:val="en-GB"/>
        </w:rPr>
        <w:t xml:space="preserve">Hamburg, 16 May 2012: </w:t>
      </w:r>
      <w:r w:rsidRPr="00123094">
        <w:rPr>
          <w:rFonts w:cs="Times New Roman"/>
          <w:bCs/>
          <w:sz w:val="22"/>
          <w:lang w:val="en-GB"/>
        </w:rPr>
        <w:t xml:space="preserve">After a relatively positive first half-year, order development in the </w:t>
      </w:r>
      <w:r w:rsidRPr="00123094">
        <w:rPr>
          <w:rFonts w:cs="Times New Roman"/>
          <w:b/>
          <w:sz w:val="22"/>
          <w:lang w:val="en-GB"/>
        </w:rPr>
        <w:t>construction of merchant vessels</w:t>
      </w:r>
      <w:r w:rsidRPr="00123094">
        <w:rPr>
          <w:rFonts w:cs="Times New Roman"/>
          <w:bCs/>
          <w:sz w:val="22"/>
          <w:lang w:val="en-GB"/>
        </w:rPr>
        <w:t xml:space="preserve"> in Germany remained behind expectations in the second half of the year.  Nevertheless, the result for the full year was b</w:t>
      </w:r>
      <w:r w:rsidR="00F603CD">
        <w:rPr>
          <w:rFonts w:cs="Times New Roman"/>
          <w:bCs/>
          <w:sz w:val="22"/>
          <w:lang w:val="en-GB"/>
        </w:rPr>
        <w:t>etter than in the previous year</w:t>
      </w:r>
      <w:r w:rsidRPr="00123094">
        <w:rPr>
          <w:rFonts w:cs="Times New Roman"/>
          <w:bCs/>
          <w:sz w:val="22"/>
          <w:lang w:val="en-GB"/>
        </w:rPr>
        <w:t xml:space="preserve"> with regard to the number of ships and the order values. The 28 ordered ships comprised an order value of EUR 3 billion.  The main shares were</w:t>
      </w:r>
      <w:r w:rsidR="00477F51">
        <w:rPr>
          <w:rFonts w:cs="Times New Roman"/>
          <w:bCs/>
          <w:sz w:val="22"/>
          <w:lang w:val="en-GB"/>
        </w:rPr>
        <w:t xml:space="preserve"> distributed (on a CGT basis) among</w:t>
      </w:r>
      <w:r w:rsidRPr="00123094">
        <w:rPr>
          <w:rFonts w:cs="Times New Roman"/>
          <w:bCs/>
          <w:sz w:val="22"/>
          <w:lang w:val="en-GB"/>
        </w:rPr>
        <w:t xml:space="preserve"> passenger vessels (56%), yachts (15%) and other non-cargo vessels (16%); three larger offshore installation vessels mainly contributed to this, which mark important successes for the increased entry of German shipyards into the offshore market. The rest is distribute</w:t>
      </w:r>
      <w:r w:rsidR="00F603CD">
        <w:rPr>
          <w:rFonts w:cs="Times New Roman"/>
          <w:bCs/>
          <w:sz w:val="22"/>
          <w:lang w:val="en-GB"/>
        </w:rPr>
        <w:t>d across, inter alia, special-purpose cargo vessels</w:t>
      </w:r>
      <w:r w:rsidRPr="00123094">
        <w:rPr>
          <w:rFonts w:cs="Times New Roman"/>
          <w:bCs/>
          <w:sz w:val="22"/>
          <w:lang w:val="en-GB"/>
        </w:rPr>
        <w:t xml:space="preserve">, gas tankers and research vessels. As the newly received order volume exceeded the deliveries, order </w:t>
      </w:r>
      <w:r w:rsidR="00F41B0F">
        <w:rPr>
          <w:rFonts w:cs="Times New Roman"/>
          <w:bCs/>
          <w:sz w:val="22"/>
          <w:lang w:val="en-GB"/>
        </w:rPr>
        <w:t>books</w:t>
      </w:r>
      <w:r w:rsidRPr="00123094">
        <w:rPr>
          <w:rFonts w:cs="Times New Roman"/>
          <w:bCs/>
          <w:sz w:val="22"/>
          <w:lang w:val="en-GB"/>
        </w:rPr>
        <w:t xml:space="preserve"> as of the end of December </w:t>
      </w:r>
      <w:r w:rsidR="00F603CD">
        <w:rPr>
          <w:rFonts w:cs="Times New Roman"/>
          <w:bCs/>
          <w:sz w:val="22"/>
          <w:lang w:val="en-GB"/>
        </w:rPr>
        <w:t xml:space="preserve">2011 </w:t>
      </w:r>
      <w:r w:rsidRPr="00123094">
        <w:rPr>
          <w:rFonts w:cs="Times New Roman"/>
          <w:bCs/>
          <w:sz w:val="22"/>
          <w:lang w:val="en-GB"/>
        </w:rPr>
        <w:t>increased slightly again. They comprised 71 orders with 1.6 million CGT and an order value of €8.4 billion, of which 97% related to foreign orders. However, the capacity utilisation situation of the shipyards remained inconsistent. Furthermore, the shipyards had four orders for the construction of platforms for offshore wind farms. These orders do not go into the shipbuilding statistics, but with an order value of €170 million, they represent a considerable employment volume for the shipyards.</w:t>
      </w:r>
    </w:p>
    <w:p w:rsidR="00326D87" w:rsidRPr="00123094" w:rsidRDefault="00326D87" w:rsidP="00A104A1">
      <w:pPr>
        <w:adjustRightInd w:val="0"/>
        <w:ind w:firstLine="709"/>
        <w:jc w:val="both"/>
        <w:rPr>
          <w:bCs/>
          <w:sz w:val="22"/>
          <w:szCs w:val="22"/>
          <w:lang w:val="en-GB"/>
        </w:rPr>
      </w:pPr>
    </w:p>
    <w:p w:rsidR="00EE38A2" w:rsidRPr="00123094" w:rsidRDefault="00EE38A2" w:rsidP="00EE38A2">
      <w:pPr>
        <w:adjustRightInd w:val="0"/>
        <w:ind w:firstLine="709"/>
        <w:jc w:val="both"/>
        <w:rPr>
          <w:rFonts w:cs="Times New Roman"/>
          <w:bCs/>
          <w:lang w:val="en-GB"/>
        </w:rPr>
      </w:pPr>
      <w:r w:rsidRPr="00123094">
        <w:rPr>
          <w:rFonts w:cs="Times New Roman"/>
          <w:bCs/>
          <w:sz w:val="22"/>
          <w:lang w:val="en-GB"/>
        </w:rPr>
        <w:t>Reductions in deman</w:t>
      </w:r>
      <w:r w:rsidR="00477F51">
        <w:rPr>
          <w:rFonts w:cs="Times New Roman"/>
          <w:bCs/>
          <w:sz w:val="22"/>
          <w:lang w:val="en-GB"/>
        </w:rPr>
        <w:t>d and cancellations due to the crisi</w:t>
      </w:r>
      <w:r w:rsidRPr="00123094">
        <w:rPr>
          <w:rFonts w:cs="Times New Roman"/>
          <w:bCs/>
          <w:sz w:val="22"/>
          <w:lang w:val="en-GB"/>
        </w:rPr>
        <w:t xml:space="preserve">s in the years 2008 - 2010 had a negative effect on production and resulted in only 31 ship deliveries with the </w:t>
      </w:r>
      <w:r w:rsidR="00F41B0F">
        <w:rPr>
          <w:rFonts w:cs="Times New Roman"/>
          <w:b/>
          <w:bCs/>
          <w:sz w:val="22"/>
          <w:lang w:val="en-GB"/>
        </w:rPr>
        <w:t>ocean</w:t>
      </w:r>
      <w:r w:rsidRPr="00477F51">
        <w:rPr>
          <w:rFonts w:cs="Times New Roman"/>
          <w:b/>
          <w:bCs/>
          <w:sz w:val="22"/>
          <w:lang w:val="en-GB"/>
        </w:rPr>
        <w:t>going vessel shipyards</w:t>
      </w:r>
      <w:r w:rsidRPr="00123094">
        <w:rPr>
          <w:rFonts w:cs="Times New Roman"/>
          <w:bCs/>
          <w:sz w:val="22"/>
          <w:lang w:val="en-GB"/>
        </w:rPr>
        <w:t>. With their tonnage of 442,000 CGT and o</w:t>
      </w:r>
      <w:r w:rsidR="00477F51">
        <w:rPr>
          <w:rFonts w:cs="Times New Roman"/>
          <w:bCs/>
          <w:sz w:val="22"/>
          <w:lang w:val="en-GB"/>
        </w:rPr>
        <w:t xml:space="preserve">rder values of €2 billion, </w:t>
      </w:r>
      <w:r w:rsidRPr="00123094">
        <w:rPr>
          <w:rFonts w:cs="Times New Roman"/>
          <w:bCs/>
          <w:sz w:val="22"/>
          <w:lang w:val="en-GB"/>
        </w:rPr>
        <w:t xml:space="preserve">production more than halved compared to 2010. 92% of the delivery volume related to ships for export.  </w:t>
      </w:r>
    </w:p>
    <w:p w:rsidR="004B3BA8" w:rsidRPr="00123094" w:rsidRDefault="004B3BA8" w:rsidP="00A104A1">
      <w:pPr>
        <w:adjustRightInd w:val="0"/>
        <w:ind w:firstLine="709"/>
        <w:jc w:val="both"/>
        <w:rPr>
          <w:bCs/>
          <w:sz w:val="22"/>
          <w:szCs w:val="22"/>
          <w:lang w:val="en-GB"/>
        </w:rPr>
      </w:pPr>
    </w:p>
    <w:p w:rsidR="00EE38A2" w:rsidRPr="00123094" w:rsidRDefault="00EE38A2" w:rsidP="007E395A">
      <w:pPr>
        <w:adjustRightInd w:val="0"/>
        <w:ind w:firstLine="709"/>
        <w:jc w:val="both"/>
        <w:rPr>
          <w:rFonts w:cs="Times New Roman"/>
          <w:bCs/>
          <w:lang w:val="en-GB"/>
        </w:rPr>
      </w:pPr>
      <w:r w:rsidRPr="00123094">
        <w:rPr>
          <w:rFonts w:cs="Times New Roman"/>
          <w:bCs/>
          <w:sz w:val="22"/>
          <w:lang w:val="en-GB"/>
        </w:rPr>
        <w:t xml:space="preserve">The turnover </w:t>
      </w:r>
      <w:r w:rsidR="00477F51">
        <w:rPr>
          <w:rFonts w:cs="Times New Roman"/>
          <w:bCs/>
          <w:sz w:val="22"/>
          <w:lang w:val="en-GB"/>
        </w:rPr>
        <w:t xml:space="preserve">of the shipyards </w:t>
      </w:r>
      <w:r w:rsidRPr="00123094">
        <w:rPr>
          <w:rFonts w:cs="Times New Roman"/>
          <w:bCs/>
          <w:sz w:val="22"/>
          <w:lang w:val="en-GB"/>
        </w:rPr>
        <w:t xml:space="preserve">with construction and repairs in </w:t>
      </w:r>
      <w:r w:rsidRPr="00123094">
        <w:rPr>
          <w:rFonts w:cs="Times New Roman"/>
          <w:b/>
          <w:sz w:val="22"/>
          <w:lang w:val="en-GB"/>
        </w:rPr>
        <w:t>naval shipbuilding</w:t>
      </w:r>
      <w:r w:rsidRPr="00123094">
        <w:rPr>
          <w:rFonts w:cs="Times New Roman"/>
          <w:bCs/>
          <w:sz w:val="22"/>
          <w:lang w:val="en-GB"/>
        </w:rPr>
        <w:t xml:space="preserve"> remained </w:t>
      </w:r>
      <w:r w:rsidR="00477F51">
        <w:rPr>
          <w:rFonts w:cs="Times New Roman"/>
          <w:bCs/>
          <w:sz w:val="22"/>
          <w:lang w:val="en-GB"/>
        </w:rPr>
        <w:t xml:space="preserve">at around € 1 million in 2011. </w:t>
      </w:r>
      <w:r w:rsidR="007E395A" w:rsidRPr="00123094">
        <w:rPr>
          <w:rFonts w:cs="Times New Roman"/>
          <w:bCs/>
          <w:sz w:val="22"/>
          <w:lang w:val="en-GB"/>
        </w:rPr>
        <w:t>O</w:t>
      </w:r>
      <w:r w:rsidRPr="00123094">
        <w:rPr>
          <w:rFonts w:cs="Times New Roman"/>
          <w:bCs/>
          <w:sz w:val="22"/>
          <w:lang w:val="en-GB"/>
        </w:rPr>
        <w:t>n a long-term average, they therefore accoun</w:t>
      </w:r>
      <w:r w:rsidR="00477F51">
        <w:rPr>
          <w:rFonts w:cs="Times New Roman"/>
          <w:bCs/>
          <w:sz w:val="22"/>
          <w:lang w:val="en-GB"/>
        </w:rPr>
        <w:t>t for around 20% of the total turnover</w:t>
      </w:r>
      <w:r w:rsidRPr="00123094">
        <w:rPr>
          <w:rFonts w:cs="Times New Roman"/>
          <w:bCs/>
          <w:sz w:val="22"/>
          <w:lang w:val="en-GB"/>
        </w:rPr>
        <w:t xml:space="preserve"> of which 70% was generated with exports. Additional significant added-value is achieved in the area of the maritime supplier industry for naval shipbuilding, which has equally high export rates.</w:t>
      </w:r>
    </w:p>
    <w:p w:rsidR="006B2D3A" w:rsidRPr="00123094" w:rsidRDefault="006B2D3A" w:rsidP="00A104A1">
      <w:pPr>
        <w:adjustRightInd w:val="0"/>
        <w:ind w:firstLine="709"/>
        <w:jc w:val="both"/>
        <w:rPr>
          <w:bCs/>
          <w:sz w:val="22"/>
          <w:szCs w:val="22"/>
          <w:lang w:val="en-GB"/>
        </w:rPr>
      </w:pPr>
    </w:p>
    <w:p w:rsidR="003C150C" w:rsidRPr="00123094" w:rsidRDefault="003C150C" w:rsidP="007E395A">
      <w:pPr>
        <w:adjustRightInd w:val="0"/>
        <w:ind w:firstLine="709"/>
        <w:jc w:val="both"/>
        <w:rPr>
          <w:rFonts w:cs="Times New Roman"/>
          <w:bCs/>
          <w:lang w:val="en-GB"/>
        </w:rPr>
      </w:pPr>
      <w:r w:rsidRPr="00123094">
        <w:rPr>
          <w:rFonts w:cs="Times New Roman"/>
          <w:bCs/>
          <w:sz w:val="22"/>
          <w:lang w:val="en-GB"/>
        </w:rPr>
        <w:t xml:space="preserve">The turnover for </w:t>
      </w:r>
      <w:r w:rsidRPr="00123094">
        <w:rPr>
          <w:rFonts w:cs="Times New Roman"/>
          <w:b/>
          <w:sz w:val="22"/>
          <w:lang w:val="en-GB"/>
        </w:rPr>
        <w:t>ship repairs, conversions and maintenance</w:t>
      </w:r>
      <w:r w:rsidRPr="00123094">
        <w:rPr>
          <w:rFonts w:cs="Times New Roman"/>
          <w:bCs/>
          <w:sz w:val="22"/>
          <w:lang w:val="en-GB"/>
        </w:rPr>
        <w:t xml:space="preserve"> w</w:t>
      </w:r>
      <w:r w:rsidR="002D5D20" w:rsidRPr="00123094">
        <w:rPr>
          <w:rFonts w:cs="Times New Roman"/>
          <w:bCs/>
          <w:sz w:val="22"/>
          <w:lang w:val="en-GB"/>
        </w:rPr>
        <w:t>as</w:t>
      </w:r>
      <w:r w:rsidRPr="00123094">
        <w:rPr>
          <w:rFonts w:cs="Times New Roman"/>
          <w:bCs/>
          <w:sz w:val="22"/>
          <w:lang w:val="en-GB"/>
        </w:rPr>
        <w:t xml:space="preserve"> maintained at the previous year’s level in 2011, at € 770 million. However, the trends were inconsistent with the individual German shipyards. The German shipyards were particularly successful in competition when, e.g. </w:t>
      </w:r>
      <w:r w:rsidR="00477F51">
        <w:rPr>
          <w:rFonts w:cs="Times New Roman"/>
          <w:bCs/>
          <w:sz w:val="22"/>
          <w:lang w:val="en-GB"/>
        </w:rPr>
        <w:t xml:space="preserve">with respect to conversions, </w:t>
      </w:r>
      <w:r w:rsidRPr="00123094">
        <w:rPr>
          <w:rFonts w:cs="Times New Roman"/>
          <w:bCs/>
          <w:sz w:val="22"/>
          <w:lang w:val="en-GB"/>
        </w:rPr>
        <w:t>the clients attached great importance to quality, adherence to schedules and comprehensive engineering and design effort. Due to the efforts to reduce emissions and the rising fuel prices,</w:t>
      </w:r>
      <w:r w:rsidR="00477F51">
        <w:rPr>
          <w:rFonts w:cs="Times New Roman"/>
          <w:bCs/>
          <w:sz w:val="22"/>
          <w:lang w:val="en-GB"/>
        </w:rPr>
        <w:t xml:space="preserve"> conversion work</w:t>
      </w:r>
      <w:r w:rsidRPr="00123094">
        <w:rPr>
          <w:rFonts w:cs="Times New Roman"/>
          <w:bCs/>
          <w:sz w:val="22"/>
          <w:lang w:val="en-GB"/>
        </w:rPr>
        <w:t xml:space="preserve"> and refitting</w:t>
      </w:r>
      <w:r w:rsidR="007E395A" w:rsidRPr="00123094">
        <w:rPr>
          <w:rFonts w:cs="Times New Roman"/>
          <w:bCs/>
          <w:sz w:val="22"/>
          <w:lang w:val="en-GB"/>
        </w:rPr>
        <w:t xml:space="preserve"> services</w:t>
      </w:r>
      <w:r w:rsidRPr="00123094">
        <w:rPr>
          <w:rFonts w:cs="Times New Roman"/>
          <w:bCs/>
          <w:sz w:val="22"/>
          <w:lang w:val="en-GB"/>
        </w:rPr>
        <w:t xml:space="preserve"> </w:t>
      </w:r>
      <w:r w:rsidR="007E395A" w:rsidRPr="00123094">
        <w:rPr>
          <w:rFonts w:cs="Times New Roman"/>
          <w:bCs/>
          <w:sz w:val="22"/>
          <w:lang w:val="en-GB"/>
        </w:rPr>
        <w:t>for</w:t>
      </w:r>
      <w:r w:rsidRPr="00123094">
        <w:rPr>
          <w:rFonts w:cs="Times New Roman"/>
          <w:bCs/>
          <w:sz w:val="22"/>
          <w:lang w:val="en-GB"/>
        </w:rPr>
        <w:t xml:space="preserve"> improved efficiency, as well as enviro</w:t>
      </w:r>
      <w:r w:rsidR="00477F51">
        <w:rPr>
          <w:rFonts w:cs="Times New Roman"/>
          <w:bCs/>
          <w:sz w:val="22"/>
          <w:lang w:val="en-GB"/>
        </w:rPr>
        <w:t>nmental protection technologies</w:t>
      </w:r>
      <w:r w:rsidRPr="00123094">
        <w:rPr>
          <w:rFonts w:cs="Times New Roman"/>
          <w:bCs/>
          <w:sz w:val="22"/>
          <w:lang w:val="en-GB"/>
        </w:rPr>
        <w:t xml:space="preserve"> continue to offer </w:t>
      </w:r>
      <w:r w:rsidR="00477F51">
        <w:rPr>
          <w:rFonts w:cs="Times New Roman"/>
          <w:bCs/>
          <w:sz w:val="22"/>
          <w:lang w:val="en-GB"/>
        </w:rPr>
        <w:t xml:space="preserve">a </w:t>
      </w:r>
      <w:r w:rsidRPr="00123094">
        <w:rPr>
          <w:rFonts w:cs="Times New Roman"/>
          <w:bCs/>
          <w:sz w:val="22"/>
          <w:lang w:val="en-GB"/>
        </w:rPr>
        <w:t xml:space="preserve">high potential for demand. </w:t>
      </w:r>
    </w:p>
    <w:p w:rsidR="006B2D3A" w:rsidRPr="00123094" w:rsidRDefault="006B2D3A" w:rsidP="00A104A1">
      <w:pPr>
        <w:adjustRightInd w:val="0"/>
        <w:ind w:firstLine="709"/>
        <w:jc w:val="both"/>
        <w:rPr>
          <w:bCs/>
          <w:sz w:val="22"/>
          <w:szCs w:val="22"/>
          <w:lang w:val="en-GB"/>
        </w:rPr>
      </w:pPr>
    </w:p>
    <w:p w:rsidR="00555A90" w:rsidRPr="00123094" w:rsidRDefault="00555A90" w:rsidP="007E395A">
      <w:pPr>
        <w:adjustRightInd w:val="0"/>
        <w:ind w:firstLine="709"/>
        <w:jc w:val="both"/>
        <w:rPr>
          <w:rFonts w:cs="Times New Roman"/>
          <w:bCs/>
          <w:lang w:val="en-GB"/>
        </w:rPr>
      </w:pPr>
      <w:r w:rsidRPr="00123094">
        <w:rPr>
          <w:rFonts w:cs="Times New Roman"/>
          <w:bCs/>
          <w:sz w:val="22"/>
          <w:lang w:val="en-GB"/>
        </w:rPr>
        <w:t xml:space="preserve">The </w:t>
      </w:r>
      <w:r w:rsidR="00CD30DF" w:rsidRPr="00123094">
        <w:rPr>
          <w:rFonts w:cs="Times New Roman"/>
          <w:bCs/>
          <w:sz w:val="22"/>
          <w:lang w:val="en-GB"/>
        </w:rPr>
        <w:t>impact of the shipping crisis was</w:t>
      </w:r>
      <w:r w:rsidRPr="00123094">
        <w:rPr>
          <w:rFonts w:cs="Times New Roman"/>
          <w:bCs/>
          <w:sz w:val="22"/>
          <w:lang w:val="en-GB"/>
        </w:rPr>
        <w:t xml:space="preserve"> clearly noticeable in 2011 for </w:t>
      </w:r>
      <w:r w:rsidRPr="00123094">
        <w:rPr>
          <w:rFonts w:cs="Times New Roman"/>
          <w:b/>
          <w:sz w:val="22"/>
          <w:lang w:val="en-GB"/>
        </w:rPr>
        <w:t>the inland vessel shipyards</w:t>
      </w:r>
      <w:r w:rsidRPr="00123094">
        <w:rPr>
          <w:rFonts w:cs="Times New Roman"/>
          <w:bCs/>
          <w:sz w:val="22"/>
          <w:lang w:val="en-GB"/>
        </w:rPr>
        <w:t xml:space="preserve"> </w:t>
      </w:r>
      <w:r w:rsidR="007E395A" w:rsidRPr="00123094">
        <w:rPr>
          <w:rFonts w:cs="Times New Roman"/>
          <w:bCs/>
          <w:sz w:val="22"/>
          <w:lang w:val="en-GB"/>
        </w:rPr>
        <w:t>with</w:t>
      </w:r>
      <w:r w:rsidR="005D0EFF">
        <w:rPr>
          <w:rFonts w:cs="Times New Roman"/>
          <w:bCs/>
          <w:sz w:val="22"/>
          <w:lang w:val="en-GB"/>
        </w:rPr>
        <w:t xml:space="preserve"> the construction of</w:t>
      </w:r>
      <w:r w:rsidRPr="00123094">
        <w:rPr>
          <w:rFonts w:cs="Times New Roman"/>
          <w:bCs/>
          <w:sz w:val="22"/>
          <w:lang w:val="en-GB"/>
        </w:rPr>
        <w:t xml:space="preserve"> cargo vessels. The </w:t>
      </w:r>
      <w:r w:rsidR="00F603CD">
        <w:rPr>
          <w:rFonts w:cs="Times New Roman"/>
          <w:bCs/>
          <w:sz w:val="22"/>
          <w:lang w:val="en-GB"/>
        </w:rPr>
        <w:t>continuing demand for special-purpose</w:t>
      </w:r>
      <w:r w:rsidRPr="00123094">
        <w:rPr>
          <w:rFonts w:cs="Times New Roman"/>
          <w:bCs/>
          <w:sz w:val="22"/>
          <w:lang w:val="en-GB"/>
        </w:rPr>
        <w:t xml:space="preserve"> vessels for public clients, as well as the very good order development with passenger and river cruise vessels led to a positive overall result. Furthermore, many shipyards specialised in sophisticated conversions, modernisations</w:t>
      </w:r>
      <w:r w:rsidR="00477F51">
        <w:rPr>
          <w:rFonts w:cs="Times New Roman"/>
          <w:bCs/>
          <w:sz w:val="22"/>
          <w:lang w:val="en-GB"/>
        </w:rPr>
        <w:t xml:space="preserve"> and repairs</w:t>
      </w:r>
      <w:r w:rsidRPr="00123094">
        <w:rPr>
          <w:rFonts w:cs="Times New Roman"/>
          <w:bCs/>
          <w:sz w:val="22"/>
          <w:lang w:val="en-GB"/>
        </w:rPr>
        <w:t xml:space="preserve">. Fluctuations in capacity utilisation were flexibly compensated with the provision of supplies for the construction of ocean-going vessels or services outside of the shipbuilding </w:t>
      </w:r>
      <w:r w:rsidRPr="00123094">
        <w:rPr>
          <w:rFonts w:cs="Times New Roman"/>
          <w:bCs/>
          <w:sz w:val="22"/>
          <w:lang w:val="en-GB"/>
        </w:rPr>
        <w:lastRenderedPageBreak/>
        <w:t>industry, so that the German inland vessel shipyards were essentially able to report full capacity utilisation. In 2011, the inland vessel shipyards delivered 44 inland vessels with a value of around € 134 million. These included nine passenger/river cruise vessels and ferries with a value of €95 million, s</w:t>
      </w:r>
      <w:r w:rsidR="005D0EFF">
        <w:rPr>
          <w:rFonts w:cs="Times New Roman"/>
          <w:bCs/>
          <w:sz w:val="22"/>
          <w:lang w:val="en-GB"/>
        </w:rPr>
        <w:t>even cargo vessels/cargo-carrying</w:t>
      </w:r>
      <w:r w:rsidRPr="00123094">
        <w:rPr>
          <w:rFonts w:cs="Times New Roman"/>
          <w:bCs/>
          <w:sz w:val="22"/>
          <w:lang w:val="en-GB"/>
        </w:rPr>
        <w:t xml:space="preserve"> units (€19 million) and 28 </w:t>
      </w:r>
      <w:r w:rsidR="005D0EFF">
        <w:rPr>
          <w:rFonts w:cs="Times New Roman"/>
          <w:bCs/>
          <w:sz w:val="22"/>
          <w:lang w:val="en-GB"/>
        </w:rPr>
        <w:t>harbour, authority</w:t>
      </w:r>
      <w:r w:rsidR="00F603CD">
        <w:rPr>
          <w:rFonts w:cs="Times New Roman"/>
          <w:bCs/>
          <w:sz w:val="22"/>
          <w:lang w:val="en-GB"/>
        </w:rPr>
        <w:t xml:space="preserve"> and special-purpose</w:t>
      </w:r>
      <w:r w:rsidRPr="00123094">
        <w:rPr>
          <w:rFonts w:cs="Times New Roman"/>
          <w:bCs/>
          <w:sz w:val="22"/>
          <w:lang w:val="en-GB"/>
        </w:rPr>
        <w:t xml:space="preserve"> vessels (€20 million). In 2011, 59 units were newly taken in with an impressive value of around €322 mill</w:t>
      </w:r>
      <w:r w:rsidR="005D0EFF">
        <w:rPr>
          <w:rFonts w:cs="Times New Roman"/>
          <w:bCs/>
          <w:sz w:val="22"/>
          <w:lang w:val="en-GB"/>
        </w:rPr>
        <w:t>ion. Among these</w:t>
      </w:r>
      <w:r w:rsidRPr="00123094">
        <w:rPr>
          <w:rFonts w:cs="Times New Roman"/>
          <w:bCs/>
          <w:sz w:val="22"/>
          <w:lang w:val="en-GB"/>
        </w:rPr>
        <w:t xml:space="preserve"> </w:t>
      </w:r>
      <w:r w:rsidR="002D5D20" w:rsidRPr="00123094">
        <w:rPr>
          <w:rFonts w:cs="Times New Roman"/>
          <w:bCs/>
          <w:sz w:val="22"/>
          <w:lang w:val="en-GB"/>
        </w:rPr>
        <w:t xml:space="preserve">were </w:t>
      </w:r>
      <w:r w:rsidRPr="00123094">
        <w:rPr>
          <w:rFonts w:cs="Times New Roman"/>
          <w:bCs/>
          <w:sz w:val="22"/>
          <w:lang w:val="en-GB"/>
        </w:rPr>
        <w:t xml:space="preserve">ten river cruise vessels alone, as well as eight </w:t>
      </w:r>
      <w:r w:rsidR="005D0EFF">
        <w:rPr>
          <w:rFonts w:cs="Times New Roman"/>
          <w:bCs/>
          <w:sz w:val="22"/>
          <w:lang w:val="en-GB"/>
        </w:rPr>
        <w:t>passenger and ferry vessels</w:t>
      </w:r>
      <w:r w:rsidRPr="00123094">
        <w:rPr>
          <w:rFonts w:cs="Times New Roman"/>
          <w:bCs/>
          <w:sz w:val="22"/>
          <w:lang w:val="en-GB"/>
        </w:rPr>
        <w:t xml:space="preserve"> </w:t>
      </w:r>
      <w:r w:rsidR="005D0EFF" w:rsidRPr="00123094">
        <w:rPr>
          <w:rFonts w:cs="Times New Roman"/>
          <w:bCs/>
          <w:sz w:val="22"/>
          <w:lang w:val="en-GB"/>
        </w:rPr>
        <w:t xml:space="preserve">different </w:t>
      </w:r>
      <w:r w:rsidR="005D0EFF">
        <w:rPr>
          <w:rFonts w:cs="Times New Roman"/>
          <w:bCs/>
          <w:sz w:val="22"/>
          <w:lang w:val="en-GB"/>
        </w:rPr>
        <w:t>in terms of their design</w:t>
      </w:r>
      <w:r w:rsidRPr="00123094">
        <w:rPr>
          <w:rFonts w:cs="Times New Roman"/>
          <w:bCs/>
          <w:sz w:val="22"/>
          <w:lang w:val="en-GB"/>
        </w:rPr>
        <w:t>, which represented a total order value of around €271 million.</w:t>
      </w:r>
    </w:p>
    <w:p w:rsidR="00326D87" w:rsidRPr="00123094" w:rsidRDefault="00326D87" w:rsidP="00A104A1">
      <w:pPr>
        <w:adjustRightInd w:val="0"/>
        <w:ind w:firstLine="709"/>
        <w:jc w:val="both"/>
        <w:rPr>
          <w:bCs/>
          <w:sz w:val="22"/>
          <w:szCs w:val="22"/>
          <w:lang w:val="en-GB"/>
        </w:rPr>
      </w:pPr>
    </w:p>
    <w:p w:rsidR="00555A90" w:rsidRPr="00123094" w:rsidRDefault="00555A90" w:rsidP="00555A90">
      <w:pPr>
        <w:adjustRightInd w:val="0"/>
        <w:ind w:firstLine="709"/>
        <w:jc w:val="both"/>
        <w:rPr>
          <w:rFonts w:cs="Times New Roman"/>
          <w:bCs/>
          <w:lang w:val="en-GB"/>
        </w:rPr>
      </w:pPr>
      <w:r w:rsidRPr="00123094">
        <w:rPr>
          <w:rFonts w:cs="Times New Roman"/>
          <w:bCs/>
          <w:sz w:val="22"/>
          <w:lang w:val="en-GB"/>
        </w:rPr>
        <w:t xml:space="preserve">The </w:t>
      </w:r>
      <w:r w:rsidRPr="00123094">
        <w:rPr>
          <w:rFonts w:cs="Times New Roman"/>
          <w:b/>
          <w:sz w:val="22"/>
          <w:lang w:val="en-GB"/>
        </w:rPr>
        <w:t>shipbuilding supply industry</w:t>
      </w:r>
      <w:r w:rsidRPr="00123094">
        <w:rPr>
          <w:rFonts w:cs="Times New Roman"/>
          <w:bCs/>
          <w:sz w:val="22"/>
          <w:lang w:val="en-GB"/>
        </w:rPr>
        <w:t>, with approx. 70,000 employees</w:t>
      </w:r>
      <w:r w:rsidR="007E395A" w:rsidRPr="00123094">
        <w:rPr>
          <w:rFonts w:cs="Times New Roman"/>
          <w:bCs/>
          <w:sz w:val="22"/>
          <w:lang w:val="en-GB"/>
        </w:rPr>
        <w:t>,</w:t>
      </w:r>
      <w:r w:rsidRPr="00123094">
        <w:rPr>
          <w:rFonts w:cs="Times New Roman"/>
          <w:bCs/>
          <w:sz w:val="22"/>
          <w:lang w:val="en-GB"/>
        </w:rPr>
        <w:t xml:space="preserve"> initially reported good to very good business development in the past year, due to the high level of exports. The declining business trends with shipping companies and shipyards in Germany were compensated by stronger global positioning with e</w:t>
      </w:r>
      <w:r w:rsidR="005D0EFF">
        <w:rPr>
          <w:rFonts w:cs="Times New Roman"/>
          <w:bCs/>
          <w:sz w:val="22"/>
          <w:lang w:val="en-GB"/>
        </w:rPr>
        <w:t>xpansions in new markets</w:t>
      </w:r>
      <w:r w:rsidRPr="00123094">
        <w:rPr>
          <w:rFonts w:cs="Times New Roman"/>
          <w:bCs/>
          <w:sz w:val="22"/>
          <w:lang w:val="en-GB"/>
        </w:rPr>
        <w:t xml:space="preserve"> such as India and Brazil. The environmental protection requirements and the trend towards higher energy efficie</w:t>
      </w:r>
      <w:r w:rsidR="005D0EFF">
        <w:rPr>
          <w:rFonts w:cs="Times New Roman"/>
          <w:bCs/>
          <w:sz w:val="22"/>
          <w:lang w:val="en-GB"/>
        </w:rPr>
        <w:t>ncy had a positive impact on</w:t>
      </w:r>
      <w:r w:rsidRPr="00123094">
        <w:rPr>
          <w:rFonts w:cs="Times New Roman"/>
          <w:bCs/>
          <w:sz w:val="22"/>
          <w:lang w:val="en-GB"/>
        </w:rPr>
        <w:t xml:space="preserve"> construction and repairs. The business was also supported by the demand by the offshore industry for oil production, gas production and wind power generation. However, during the fourth quarter, the falling demand in global shipbuilding had an impact on the entire supply industry.</w:t>
      </w:r>
    </w:p>
    <w:p w:rsidR="00B412C7" w:rsidRPr="00123094" w:rsidRDefault="00210730" w:rsidP="00A104A1">
      <w:pPr>
        <w:adjustRightInd w:val="0"/>
        <w:ind w:firstLine="709"/>
        <w:jc w:val="both"/>
        <w:rPr>
          <w:bCs/>
          <w:sz w:val="22"/>
          <w:szCs w:val="22"/>
          <w:lang w:val="en-GB"/>
        </w:rPr>
      </w:pPr>
      <w:r w:rsidRPr="00123094">
        <w:rPr>
          <w:bCs/>
          <w:sz w:val="22"/>
          <w:szCs w:val="22"/>
          <w:lang w:val="en-GB"/>
        </w:rPr>
        <w:t xml:space="preserve"> </w:t>
      </w:r>
    </w:p>
    <w:p w:rsidR="0003597B" w:rsidRPr="00123094" w:rsidRDefault="0003597B" w:rsidP="0003597B">
      <w:pPr>
        <w:adjustRightInd w:val="0"/>
        <w:ind w:firstLine="709"/>
        <w:jc w:val="both"/>
        <w:rPr>
          <w:rFonts w:cs="Times New Roman"/>
          <w:bCs/>
          <w:lang w:val="en-GB"/>
        </w:rPr>
      </w:pPr>
      <w:r w:rsidRPr="00123094">
        <w:rPr>
          <w:rFonts w:cs="Times New Roman"/>
          <w:bCs/>
          <w:sz w:val="22"/>
          <w:lang w:val="en-GB"/>
        </w:rPr>
        <w:t xml:space="preserve">German </w:t>
      </w:r>
      <w:r w:rsidRPr="00123094">
        <w:rPr>
          <w:rFonts w:cs="Times New Roman"/>
          <w:b/>
          <w:sz w:val="22"/>
          <w:lang w:val="en-GB"/>
        </w:rPr>
        <w:t>marine technology</w:t>
      </w:r>
      <w:r w:rsidRPr="00123094">
        <w:rPr>
          <w:rFonts w:cs="Times New Roman"/>
          <w:bCs/>
          <w:sz w:val="22"/>
          <w:lang w:val="en-GB"/>
        </w:rPr>
        <w:t xml:space="preserve"> generated </w:t>
      </w:r>
      <w:r w:rsidR="005D0EFF">
        <w:rPr>
          <w:rFonts w:cs="Times New Roman"/>
          <w:bCs/>
          <w:sz w:val="22"/>
          <w:lang w:val="en-GB"/>
        </w:rPr>
        <w:t xml:space="preserve">a </w:t>
      </w:r>
      <w:r w:rsidRPr="00123094">
        <w:rPr>
          <w:rFonts w:cs="Times New Roman"/>
          <w:bCs/>
          <w:sz w:val="22"/>
          <w:lang w:val="en-GB"/>
        </w:rPr>
        <w:t>turnover of approx. €11 million and reached a global market share of around 4%. These figures have remained virtually unchanged since 2008, with the exception of the crisis year 2009. However, the outlook is positive due to high investment expectations, particularly in the deep water segment. The offshore segments with the highest turnover include oil/gas production and wind energy utilisation, which has become an importan</w:t>
      </w:r>
      <w:r w:rsidR="005D0EFF">
        <w:rPr>
          <w:rFonts w:cs="Times New Roman"/>
          <w:bCs/>
          <w:sz w:val="22"/>
          <w:lang w:val="en-GB"/>
        </w:rPr>
        <w:t>t pillar for the German vendors</w:t>
      </w:r>
      <w:r w:rsidRPr="00123094">
        <w:rPr>
          <w:rFonts w:cs="Times New Roman"/>
          <w:bCs/>
          <w:sz w:val="22"/>
          <w:lang w:val="en-GB"/>
        </w:rPr>
        <w:t xml:space="preserve"> due to its dynamic development. This has created a distinct spin-off effect in the shipbuilding industry.</w:t>
      </w:r>
    </w:p>
    <w:p w:rsidR="004B3BA8" w:rsidRPr="00123094" w:rsidRDefault="004B3BA8" w:rsidP="007C56BF">
      <w:pPr>
        <w:adjustRightInd w:val="0"/>
        <w:ind w:firstLine="709"/>
        <w:jc w:val="both"/>
        <w:rPr>
          <w:bCs/>
          <w:sz w:val="22"/>
          <w:szCs w:val="22"/>
          <w:lang w:val="en-GB"/>
        </w:rPr>
      </w:pPr>
    </w:p>
    <w:p w:rsidR="00A104A1" w:rsidRPr="00123094" w:rsidRDefault="00A104A1" w:rsidP="00A104A1">
      <w:pPr>
        <w:adjustRightInd w:val="0"/>
        <w:jc w:val="both"/>
        <w:rPr>
          <w:lang w:val="en-GB"/>
        </w:rPr>
      </w:pPr>
    </w:p>
    <w:p w:rsidR="00D2174F" w:rsidRPr="00123094" w:rsidRDefault="00200125" w:rsidP="00D2174F">
      <w:pPr>
        <w:jc w:val="both"/>
        <w:rPr>
          <w:i/>
          <w:sz w:val="20"/>
          <w:szCs w:val="20"/>
          <w:lang w:val="en-GB"/>
        </w:rPr>
      </w:pPr>
      <w:r w:rsidRPr="00123094">
        <w:rPr>
          <w:rFonts w:cs="Times New Roman"/>
          <w:i/>
          <w:sz w:val="20"/>
          <w:lang w:val="en-GB"/>
        </w:rPr>
        <w:t xml:space="preserve">The </w:t>
      </w:r>
      <w:proofErr w:type="spellStart"/>
      <w:r w:rsidRPr="00123094">
        <w:rPr>
          <w:rFonts w:cs="Times New Roman"/>
          <w:i/>
          <w:sz w:val="20"/>
          <w:lang w:val="en-GB"/>
        </w:rPr>
        <w:t>Verband</w:t>
      </w:r>
      <w:proofErr w:type="spellEnd"/>
      <w:r w:rsidRPr="00123094">
        <w:rPr>
          <w:rFonts w:cs="Times New Roman"/>
          <w:i/>
          <w:sz w:val="20"/>
          <w:lang w:val="en-GB"/>
        </w:rPr>
        <w:t xml:space="preserve"> </w:t>
      </w:r>
      <w:proofErr w:type="spellStart"/>
      <w:r w:rsidRPr="00123094">
        <w:rPr>
          <w:rFonts w:cs="Times New Roman"/>
          <w:i/>
          <w:sz w:val="20"/>
          <w:lang w:val="en-GB"/>
        </w:rPr>
        <w:t>für</w:t>
      </w:r>
      <w:proofErr w:type="spellEnd"/>
      <w:r w:rsidRPr="00123094">
        <w:rPr>
          <w:rFonts w:cs="Times New Roman"/>
          <w:i/>
          <w:sz w:val="20"/>
          <w:lang w:val="en-GB"/>
        </w:rPr>
        <w:t xml:space="preserve"> </w:t>
      </w:r>
      <w:proofErr w:type="spellStart"/>
      <w:r w:rsidRPr="00123094">
        <w:rPr>
          <w:rFonts w:cs="Times New Roman"/>
          <w:i/>
          <w:sz w:val="20"/>
          <w:lang w:val="en-GB"/>
        </w:rPr>
        <w:t>Schiffbau</w:t>
      </w:r>
      <w:proofErr w:type="spellEnd"/>
      <w:r w:rsidRPr="00123094">
        <w:rPr>
          <w:rFonts w:cs="Times New Roman"/>
          <w:i/>
          <w:sz w:val="20"/>
          <w:lang w:val="en-GB"/>
        </w:rPr>
        <w:t xml:space="preserve"> und </w:t>
      </w:r>
      <w:proofErr w:type="spellStart"/>
      <w:r w:rsidRPr="00123094">
        <w:rPr>
          <w:rFonts w:cs="Times New Roman"/>
          <w:i/>
          <w:sz w:val="20"/>
          <w:lang w:val="en-GB"/>
        </w:rPr>
        <w:t>Meerestechnik</w:t>
      </w:r>
      <w:proofErr w:type="spellEnd"/>
      <w:r w:rsidRPr="00123094">
        <w:rPr>
          <w:rFonts w:cs="Times New Roman"/>
          <w:i/>
          <w:sz w:val="20"/>
          <w:lang w:val="en-GB"/>
        </w:rPr>
        <w:t xml:space="preserve"> e. V. is the political and commercial representative of interests of the German maritime industry, shipyards constructing seagoing and inland vessels, as well as their suppliers. Further details about the development of the German shipbuilding industry and marine technology are contained in the VSM </w:t>
      </w:r>
      <w:r w:rsidRPr="00974C7F">
        <w:rPr>
          <w:rFonts w:cs="Times New Roman"/>
          <w:i/>
          <w:sz w:val="20"/>
          <w:lang w:val="en-GB"/>
        </w:rPr>
        <w:t>201</w:t>
      </w:r>
      <w:r w:rsidR="00974C7F" w:rsidRPr="00974C7F">
        <w:rPr>
          <w:rFonts w:cs="Times New Roman"/>
          <w:i/>
          <w:sz w:val="20"/>
          <w:lang w:val="en-GB"/>
        </w:rPr>
        <w:t>1</w:t>
      </w:r>
      <w:r w:rsidR="000972D5">
        <w:rPr>
          <w:rFonts w:cs="Times New Roman"/>
          <w:i/>
          <w:sz w:val="20"/>
          <w:lang w:val="en-GB"/>
        </w:rPr>
        <w:t xml:space="preserve"> Annual </w:t>
      </w:r>
      <w:proofErr w:type="spellStart"/>
      <w:r w:rsidR="000972D5">
        <w:rPr>
          <w:rFonts w:cs="Times New Roman"/>
          <w:i/>
          <w:sz w:val="20"/>
          <w:lang w:val="en-GB"/>
        </w:rPr>
        <w:t>Report.</w:t>
      </w:r>
      <w:r w:rsidRPr="00123094">
        <w:rPr>
          <w:rFonts w:cs="Times New Roman"/>
          <w:i/>
          <w:sz w:val="20"/>
          <w:lang w:val="en-GB"/>
        </w:rPr>
        <w:t>You</w:t>
      </w:r>
      <w:proofErr w:type="spellEnd"/>
      <w:r w:rsidRPr="00123094">
        <w:rPr>
          <w:rFonts w:cs="Times New Roman"/>
          <w:i/>
          <w:sz w:val="20"/>
          <w:lang w:val="en-GB"/>
        </w:rPr>
        <w:t xml:space="preserve"> can request it from VSM or find it on the Internet at </w:t>
      </w:r>
      <w:hyperlink r:id="rId8" w:history="1">
        <w:r w:rsidRPr="00123094">
          <w:rPr>
            <w:rStyle w:val="Hyperlink"/>
            <w:i/>
            <w:sz w:val="20"/>
            <w:lang w:val="en-GB"/>
          </w:rPr>
          <w:t>http://www.vsm.de</w:t>
        </w:r>
      </w:hyperlink>
    </w:p>
    <w:p w:rsidR="004B3BA8" w:rsidRPr="00123094" w:rsidRDefault="004B3BA8" w:rsidP="00D2174F">
      <w:pPr>
        <w:jc w:val="both"/>
        <w:rPr>
          <w:sz w:val="22"/>
          <w:szCs w:val="22"/>
          <w:lang w:val="en-GB"/>
        </w:rPr>
      </w:pPr>
    </w:p>
    <w:p w:rsidR="00D2174F" w:rsidRPr="00F603CD" w:rsidRDefault="00200125" w:rsidP="00D2174F">
      <w:pPr>
        <w:jc w:val="both"/>
        <w:rPr>
          <w:sz w:val="20"/>
          <w:szCs w:val="20"/>
        </w:rPr>
      </w:pPr>
      <w:proofErr w:type="spellStart"/>
      <w:r w:rsidRPr="00F603CD">
        <w:t>Queries</w:t>
      </w:r>
      <w:proofErr w:type="spellEnd"/>
      <w:r w:rsidRPr="00F603CD">
        <w:t xml:space="preserve"> </w:t>
      </w:r>
      <w:proofErr w:type="spellStart"/>
      <w:r w:rsidRPr="00F603CD">
        <w:t>to</w:t>
      </w:r>
      <w:proofErr w:type="spellEnd"/>
      <w:r w:rsidR="000704B7" w:rsidRPr="00F603CD">
        <w:t>:</w:t>
      </w:r>
      <w:r w:rsidRPr="00F603CD">
        <w:tab/>
      </w:r>
      <w:r w:rsidR="00D2174F" w:rsidRPr="00F603CD">
        <w:t xml:space="preserve"> </w:t>
      </w:r>
      <w:r w:rsidR="00D2174F" w:rsidRPr="00F603CD">
        <w:tab/>
      </w:r>
      <w:r w:rsidR="00D2174F" w:rsidRPr="00F603CD">
        <w:rPr>
          <w:sz w:val="20"/>
          <w:szCs w:val="20"/>
        </w:rPr>
        <w:t xml:space="preserve">Verband für Schiffbau und Meerestechnik e. V. </w:t>
      </w:r>
    </w:p>
    <w:p w:rsidR="00D2174F" w:rsidRPr="00F603CD" w:rsidRDefault="00D2174F" w:rsidP="00D2174F">
      <w:pPr>
        <w:ind w:left="708" w:firstLine="708"/>
        <w:jc w:val="both"/>
        <w:rPr>
          <w:sz w:val="20"/>
          <w:szCs w:val="20"/>
        </w:rPr>
      </w:pPr>
      <w:r w:rsidRPr="00F603CD">
        <w:rPr>
          <w:sz w:val="20"/>
          <w:szCs w:val="20"/>
        </w:rPr>
        <w:tab/>
      </w:r>
      <w:proofErr w:type="spellStart"/>
      <w:r w:rsidRPr="00F603CD">
        <w:rPr>
          <w:sz w:val="20"/>
          <w:szCs w:val="20"/>
        </w:rPr>
        <w:t>Steinhöft</w:t>
      </w:r>
      <w:proofErr w:type="spellEnd"/>
      <w:r w:rsidRPr="00F603CD">
        <w:rPr>
          <w:sz w:val="20"/>
          <w:szCs w:val="20"/>
        </w:rPr>
        <w:t xml:space="preserve"> 11 (</w:t>
      </w:r>
      <w:proofErr w:type="spellStart"/>
      <w:r w:rsidRPr="00F603CD">
        <w:rPr>
          <w:sz w:val="20"/>
          <w:szCs w:val="20"/>
        </w:rPr>
        <w:t>Slomanhaus</w:t>
      </w:r>
      <w:proofErr w:type="spellEnd"/>
      <w:r w:rsidRPr="00F603CD">
        <w:rPr>
          <w:sz w:val="20"/>
          <w:szCs w:val="20"/>
        </w:rPr>
        <w:t>)</w:t>
      </w:r>
    </w:p>
    <w:p w:rsidR="0003597B" w:rsidRPr="00F603CD" w:rsidRDefault="0003597B" w:rsidP="0003597B">
      <w:pPr>
        <w:ind w:left="708" w:firstLine="708"/>
        <w:jc w:val="both"/>
        <w:rPr>
          <w:rFonts w:cs="Times New Roman"/>
          <w:sz w:val="20"/>
        </w:rPr>
      </w:pPr>
      <w:r w:rsidRPr="00F603CD">
        <w:rPr>
          <w:rFonts w:cs="Times New Roman"/>
          <w:sz w:val="20"/>
        </w:rPr>
        <w:tab/>
        <w:t>20459 Hamburg, Germany</w:t>
      </w:r>
    </w:p>
    <w:p w:rsidR="00D2174F" w:rsidRPr="00F603CD" w:rsidRDefault="00D2174F" w:rsidP="00D2174F">
      <w:pPr>
        <w:ind w:left="708" w:firstLine="708"/>
        <w:jc w:val="both"/>
        <w:rPr>
          <w:sz w:val="20"/>
          <w:szCs w:val="20"/>
        </w:rPr>
      </w:pPr>
      <w:r w:rsidRPr="00F603CD">
        <w:rPr>
          <w:sz w:val="20"/>
          <w:szCs w:val="20"/>
        </w:rPr>
        <w:tab/>
        <w:t>Tel:</w:t>
      </w:r>
      <w:r w:rsidRPr="00F603CD">
        <w:rPr>
          <w:sz w:val="20"/>
          <w:szCs w:val="20"/>
        </w:rPr>
        <w:tab/>
        <w:t>(040) 2801 52-0</w:t>
      </w:r>
    </w:p>
    <w:p w:rsidR="00D2174F" w:rsidRPr="00123094" w:rsidRDefault="00D2174F" w:rsidP="00D2174F">
      <w:pPr>
        <w:ind w:left="708" w:firstLine="708"/>
        <w:jc w:val="both"/>
        <w:rPr>
          <w:sz w:val="20"/>
          <w:szCs w:val="20"/>
          <w:lang w:val="en-GB"/>
        </w:rPr>
      </w:pPr>
      <w:r w:rsidRPr="00F603CD">
        <w:rPr>
          <w:sz w:val="20"/>
          <w:szCs w:val="20"/>
        </w:rPr>
        <w:tab/>
      </w:r>
      <w:r w:rsidRPr="00123094">
        <w:rPr>
          <w:sz w:val="20"/>
          <w:szCs w:val="20"/>
          <w:lang w:val="en-GB"/>
        </w:rPr>
        <w:t>Fax:</w:t>
      </w:r>
      <w:r w:rsidRPr="00123094">
        <w:rPr>
          <w:sz w:val="20"/>
          <w:szCs w:val="20"/>
          <w:lang w:val="en-GB"/>
        </w:rPr>
        <w:tab/>
        <w:t>(040) 2801 52-30</w:t>
      </w:r>
    </w:p>
    <w:p w:rsidR="00671B71" w:rsidRPr="0003597B" w:rsidRDefault="00D2174F" w:rsidP="00D2174F">
      <w:pPr>
        <w:ind w:firstLine="708"/>
        <w:rPr>
          <w:sz w:val="20"/>
          <w:szCs w:val="20"/>
          <w:lang w:val="en-GB"/>
        </w:rPr>
      </w:pPr>
      <w:r w:rsidRPr="00123094">
        <w:rPr>
          <w:sz w:val="20"/>
          <w:szCs w:val="20"/>
          <w:lang w:val="en-GB"/>
        </w:rPr>
        <w:tab/>
      </w:r>
      <w:r w:rsidRPr="00123094">
        <w:rPr>
          <w:sz w:val="20"/>
          <w:szCs w:val="20"/>
          <w:lang w:val="en-GB"/>
        </w:rPr>
        <w:tab/>
      </w:r>
      <w:r w:rsidRPr="00123094">
        <w:rPr>
          <w:sz w:val="20"/>
          <w:szCs w:val="20"/>
          <w:lang w:val="en-GB"/>
        </w:rPr>
        <w:tab/>
        <w:t>E-mail:</w:t>
      </w:r>
      <w:r w:rsidRPr="00123094">
        <w:rPr>
          <w:sz w:val="20"/>
          <w:szCs w:val="20"/>
          <w:lang w:val="en-GB"/>
        </w:rPr>
        <w:tab/>
      </w:r>
      <w:hyperlink r:id="rId9" w:history="1">
        <w:r w:rsidRPr="00123094">
          <w:rPr>
            <w:rStyle w:val="Hyperlink"/>
            <w:sz w:val="20"/>
            <w:szCs w:val="20"/>
            <w:lang w:val="en-GB"/>
          </w:rPr>
          <w:t>info@vsm.de</w:t>
        </w:r>
      </w:hyperlink>
    </w:p>
    <w:sectPr w:rsidR="00671B71" w:rsidRPr="0003597B" w:rsidSect="00671B71">
      <w:headerReference w:type="default" r:id="rId10"/>
      <w:footerReference w:type="default" r:id="rId11"/>
      <w:headerReference w:type="first" r:id="rId12"/>
      <w:footerReference w:type="first" r:id="rId13"/>
      <w:pgSz w:w="11906" w:h="16838" w:code="9"/>
      <w:pgMar w:top="1985" w:right="1418" w:bottom="1418" w:left="1701" w:header="709" w:footer="70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72D5" w:rsidRDefault="000972D5">
      <w:r>
        <w:separator/>
      </w:r>
    </w:p>
  </w:endnote>
  <w:endnote w:type="continuationSeparator" w:id="0">
    <w:p w:rsidR="000972D5" w:rsidRDefault="000972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2D5" w:rsidRDefault="000972D5">
    <w:pPr>
      <w:pStyle w:val="Fuzeile"/>
      <w:jc w:val="right"/>
      <w:rPr>
        <w:sz w:val="20"/>
        <w:szCs w:val="20"/>
      </w:rPr>
    </w:pPr>
    <w:r>
      <w:rPr>
        <w:rStyle w:val="Seitenzahl"/>
        <w:sz w:val="20"/>
        <w:szCs w:val="20"/>
      </w:rPr>
      <w:fldChar w:fldCharType="begin"/>
    </w:r>
    <w:r>
      <w:rPr>
        <w:rStyle w:val="Seitenzahl"/>
        <w:sz w:val="20"/>
        <w:szCs w:val="20"/>
      </w:rPr>
      <w:instrText xml:space="preserve"> PAGE </w:instrText>
    </w:r>
    <w:r>
      <w:rPr>
        <w:rStyle w:val="Seitenzahl"/>
        <w:sz w:val="20"/>
        <w:szCs w:val="20"/>
      </w:rPr>
      <w:fldChar w:fldCharType="separate"/>
    </w:r>
    <w:r w:rsidR="00A31029">
      <w:rPr>
        <w:rStyle w:val="Seitenzahl"/>
        <w:noProof/>
        <w:sz w:val="20"/>
        <w:szCs w:val="20"/>
      </w:rPr>
      <w:t>2</w:t>
    </w:r>
    <w:r>
      <w:rPr>
        <w:rStyle w:val="Seitenzahl"/>
        <w:sz w:val="20"/>
        <w:szCs w:val="20"/>
      </w:rPr>
      <w:fldChar w:fldCharType="end"/>
    </w:r>
    <w:r>
      <w:rPr>
        <w:rStyle w:val="Seitenzahl"/>
        <w:sz w:val="20"/>
        <w:szCs w:val="20"/>
      </w:rPr>
      <w:t>/</w:t>
    </w:r>
    <w:r>
      <w:rPr>
        <w:rStyle w:val="Seitenzahl"/>
        <w:sz w:val="20"/>
        <w:szCs w:val="20"/>
      </w:rPr>
      <w:fldChar w:fldCharType="begin"/>
    </w:r>
    <w:r>
      <w:rPr>
        <w:rStyle w:val="Seitenzahl"/>
        <w:sz w:val="20"/>
        <w:szCs w:val="20"/>
      </w:rPr>
      <w:instrText xml:space="preserve"> NUMPAGES </w:instrText>
    </w:r>
    <w:r>
      <w:rPr>
        <w:rStyle w:val="Seitenzahl"/>
        <w:sz w:val="20"/>
        <w:szCs w:val="20"/>
      </w:rPr>
      <w:fldChar w:fldCharType="separate"/>
    </w:r>
    <w:r w:rsidR="00A31029">
      <w:rPr>
        <w:rStyle w:val="Seitenzahl"/>
        <w:noProof/>
        <w:sz w:val="20"/>
        <w:szCs w:val="20"/>
      </w:rPr>
      <w:t>2</w:t>
    </w:r>
    <w:r>
      <w:rPr>
        <w:rStyle w:val="Seitenzahl"/>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2D5" w:rsidRDefault="000972D5" w:rsidP="00671B71">
    <w:pPr>
      <w:pStyle w:val="Fuzeile"/>
      <w:jc w:val="center"/>
      <w:rPr>
        <w:sz w:val="14"/>
      </w:rPr>
    </w:pPr>
    <w:r>
      <w:rPr>
        <w:sz w:val="14"/>
      </w:rPr>
      <w:t>VERBAND FÜR SCHIFFBAU UND MEERESTECHNIK E.V.</w:t>
    </w:r>
  </w:p>
  <w:p w:rsidR="000972D5" w:rsidRDefault="000972D5" w:rsidP="00671B71">
    <w:pPr>
      <w:pStyle w:val="Fuzeile"/>
      <w:jc w:val="center"/>
      <w:rPr>
        <w:sz w:val="14"/>
      </w:rPr>
    </w:pPr>
    <w:proofErr w:type="spellStart"/>
    <w:r>
      <w:rPr>
        <w:sz w:val="14"/>
      </w:rPr>
      <w:t>Steinhöft</w:t>
    </w:r>
    <w:proofErr w:type="spellEnd"/>
    <w:r>
      <w:rPr>
        <w:sz w:val="14"/>
      </w:rPr>
      <w:t xml:space="preserve"> 11   </w:t>
    </w:r>
    <w:r>
      <w:rPr>
        <w:sz w:val="14"/>
      </w:rPr>
      <w:sym w:font="Wingdings" w:char="F077"/>
    </w:r>
    <w:r>
      <w:rPr>
        <w:sz w:val="14"/>
      </w:rPr>
      <w:t xml:space="preserve">   D-20459 Hamburg</w:t>
    </w:r>
  </w:p>
  <w:p w:rsidR="000972D5" w:rsidRDefault="000972D5" w:rsidP="007E395A">
    <w:pPr>
      <w:jc w:val="center"/>
      <w:rPr>
        <w:sz w:val="14"/>
      </w:rPr>
    </w:pPr>
    <w:proofErr w:type="spellStart"/>
    <w:r>
      <w:rPr>
        <w:sz w:val="14"/>
      </w:rPr>
      <w:t>Telephone</w:t>
    </w:r>
    <w:proofErr w:type="spellEnd"/>
    <w:r>
      <w:rPr>
        <w:sz w:val="14"/>
      </w:rPr>
      <w:t xml:space="preserve"> (++49) 40/28 01 52-0   </w:t>
    </w:r>
    <w:r>
      <w:rPr>
        <w:sz w:val="14"/>
      </w:rPr>
      <w:sym w:font="Wingdings" w:char="F077"/>
    </w:r>
    <w:r>
      <w:rPr>
        <w:sz w:val="14"/>
      </w:rPr>
      <w:t xml:space="preserve">   Telefax (++49) 40/ 28 01 52-30   </w:t>
    </w:r>
    <w:r>
      <w:rPr>
        <w:sz w:val="14"/>
      </w:rPr>
      <w:sym w:font="Wingdings" w:char="F077"/>
    </w:r>
    <w:r>
      <w:rPr>
        <w:sz w:val="14"/>
      </w:rPr>
      <w:t xml:space="preserve">   Internet </w:t>
    </w:r>
    <w:hyperlink r:id="rId1" w:history="1">
      <w:r>
        <w:rPr>
          <w:rStyle w:val="Hyperlink"/>
          <w:sz w:val="14"/>
        </w:rPr>
        <w:t>http://www.vsm.de</w:t>
      </w:r>
    </w:hyperlink>
    <w:r>
      <w:rPr>
        <w:sz w:val="14"/>
      </w:rPr>
      <w:t xml:space="preserve">   </w:t>
    </w:r>
    <w:r>
      <w:rPr>
        <w:sz w:val="14"/>
      </w:rPr>
      <w:sym w:font="Wingdings" w:char="F077"/>
    </w:r>
    <w:r>
      <w:rPr>
        <w:sz w:val="14"/>
      </w:rPr>
      <w:t xml:space="preserve">   </w:t>
    </w:r>
    <w:proofErr w:type="spellStart"/>
    <w:r>
      <w:rPr>
        <w:sz w:val="14"/>
      </w:rPr>
      <w:t>eMail</w:t>
    </w:r>
    <w:proofErr w:type="spellEnd"/>
    <w:r>
      <w:rPr>
        <w:sz w:val="14"/>
      </w:rPr>
      <w:t xml:space="preserve"> </w:t>
    </w:r>
    <w:hyperlink r:id="rId2" w:history="1">
      <w:r>
        <w:rPr>
          <w:rStyle w:val="Hyperlink"/>
          <w:sz w:val="14"/>
        </w:rPr>
        <w:t>info@vsm.de</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72D5" w:rsidRDefault="000972D5">
      <w:r>
        <w:separator/>
      </w:r>
    </w:p>
  </w:footnote>
  <w:footnote w:type="continuationSeparator" w:id="0">
    <w:p w:rsidR="000972D5" w:rsidRDefault="000972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2D5" w:rsidRDefault="000972D5" w:rsidP="00A104A1">
    <w:pPr>
      <w:pStyle w:val="Kopfzeile"/>
      <w:spacing w:after="720"/>
      <w:jc w:val="center"/>
    </w:pPr>
    <w:r>
      <w:rPr>
        <w:noProof/>
        <w:color w:val="130000"/>
        <w:sz w:val="20"/>
      </w:rPr>
      <w:drawing>
        <wp:inline distT="0" distB="0" distL="0" distR="0">
          <wp:extent cx="1117600" cy="749300"/>
          <wp:effectExtent l="0" t="0" r="6350" b="0"/>
          <wp:docPr id="1" name="Bild 1" descr="VSM_Logo_weisser_Hintergrund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SM_Logo_weisser_Hintergrund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7600" cy="74930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2D5" w:rsidRPr="00D371F5" w:rsidRDefault="000972D5" w:rsidP="00D371F5">
    <w:pPr>
      <w:pStyle w:val="Kopfzeile"/>
    </w:pPr>
    <w:r>
      <w:rPr>
        <w:noProof/>
      </w:rPr>
      <w:drawing>
        <wp:anchor distT="0" distB="0" distL="114300" distR="114300" simplePos="0" relativeHeight="251657728" behindDoc="0" locked="0" layoutInCell="1" allowOverlap="1">
          <wp:simplePos x="0" y="0"/>
          <wp:positionH relativeFrom="column">
            <wp:align>center</wp:align>
          </wp:positionH>
          <wp:positionV relativeFrom="paragraph">
            <wp:posOffset>0</wp:posOffset>
          </wp:positionV>
          <wp:extent cx="1209675" cy="809625"/>
          <wp:effectExtent l="0" t="0" r="9525" b="9525"/>
          <wp:wrapNone/>
          <wp:docPr id="2" name="Bild 1" descr="VSM_Logo_weisser_Hintergrund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SM_Logo_weisser_Hintergrund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9675" cy="809625"/>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04A1"/>
    <w:rsid w:val="00003829"/>
    <w:rsid w:val="00017C28"/>
    <w:rsid w:val="0003597B"/>
    <w:rsid w:val="000368EA"/>
    <w:rsid w:val="000533FD"/>
    <w:rsid w:val="00062514"/>
    <w:rsid w:val="000704B7"/>
    <w:rsid w:val="000840EB"/>
    <w:rsid w:val="000972D5"/>
    <w:rsid w:val="000A7464"/>
    <w:rsid w:val="000F3E6C"/>
    <w:rsid w:val="000F7BB9"/>
    <w:rsid w:val="00120981"/>
    <w:rsid w:val="00121FE7"/>
    <w:rsid w:val="00123094"/>
    <w:rsid w:val="00164406"/>
    <w:rsid w:val="001721EA"/>
    <w:rsid w:val="00172B58"/>
    <w:rsid w:val="0019307E"/>
    <w:rsid w:val="001966E2"/>
    <w:rsid w:val="001A0CC7"/>
    <w:rsid w:val="001B3AFD"/>
    <w:rsid w:val="001D2566"/>
    <w:rsid w:val="001D5301"/>
    <w:rsid w:val="001E13AE"/>
    <w:rsid w:val="001F02F9"/>
    <w:rsid w:val="001F3401"/>
    <w:rsid w:val="00200125"/>
    <w:rsid w:val="00200441"/>
    <w:rsid w:val="002068A3"/>
    <w:rsid w:val="00210730"/>
    <w:rsid w:val="0022035B"/>
    <w:rsid w:val="002321C3"/>
    <w:rsid w:val="00237097"/>
    <w:rsid w:val="00243E44"/>
    <w:rsid w:val="002452DB"/>
    <w:rsid w:val="0025075E"/>
    <w:rsid w:val="002648E8"/>
    <w:rsid w:val="0027354D"/>
    <w:rsid w:val="002977FB"/>
    <w:rsid w:val="002A0324"/>
    <w:rsid w:val="002C2DE3"/>
    <w:rsid w:val="002C5EDA"/>
    <w:rsid w:val="002D5D20"/>
    <w:rsid w:val="002F3EC0"/>
    <w:rsid w:val="00303193"/>
    <w:rsid w:val="003059AF"/>
    <w:rsid w:val="00326D87"/>
    <w:rsid w:val="00335054"/>
    <w:rsid w:val="003472BE"/>
    <w:rsid w:val="003635D6"/>
    <w:rsid w:val="00382281"/>
    <w:rsid w:val="00382E41"/>
    <w:rsid w:val="003919B8"/>
    <w:rsid w:val="003C150C"/>
    <w:rsid w:val="003E1E9E"/>
    <w:rsid w:val="003F173F"/>
    <w:rsid w:val="003F24D6"/>
    <w:rsid w:val="00423E82"/>
    <w:rsid w:val="004438C9"/>
    <w:rsid w:val="00450699"/>
    <w:rsid w:val="0047248C"/>
    <w:rsid w:val="00476042"/>
    <w:rsid w:val="00477F51"/>
    <w:rsid w:val="004A0DCA"/>
    <w:rsid w:val="004A2ED1"/>
    <w:rsid w:val="004A5998"/>
    <w:rsid w:val="004A7A6B"/>
    <w:rsid w:val="004B3BA8"/>
    <w:rsid w:val="004D01D5"/>
    <w:rsid w:val="004E3B7F"/>
    <w:rsid w:val="004F30CA"/>
    <w:rsid w:val="00506435"/>
    <w:rsid w:val="005070A8"/>
    <w:rsid w:val="00507C1F"/>
    <w:rsid w:val="0052166C"/>
    <w:rsid w:val="00522BE9"/>
    <w:rsid w:val="00542C3F"/>
    <w:rsid w:val="00542EF6"/>
    <w:rsid w:val="00552D42"/>
    <w:rsid w:val="00555A90"/>
    <w:rsid w:val="005626A6"/>
    <w:rsid w:val="00563584"/>
    <w:rsid w:val="0057323D"/>
    <w:rsid w:val="005769FA"/>
    <w:rsid w:val="00576E1C"/>
    <w:rsid w:val="00580751"/>
    <w:rsid w:val="00591B95"/>
    <w:rsid w:val="005A2EEB"/>
    <w:rsid w:val="005A5AB5"/>
    <w:rsid w:val="005B3818"/>
    <w:rsid w:val="005B4493"/>
    <w:rsid w:val="005B4618"/>
    <w:rsid w:val="005B4F4B"/>
    <w:rsid w:val="005C0DE5"/>
    <w:rsid w:val="005D0EFF"/>
    <w:rsid w:val="005D14F7"/>
    <w:rsid w:val="0061201F"/>
    <w:rsid w:val="0062621E"/>
    <w:rsid w:val="0064013E"/>
    <w:rsid w:val="00644633"/>
    <w:rsid w:val="006504E3"/>
    <w:rsid w:val="006561DA"/>
    <w:rsid w:val="00671B71"/>
    <w:rsid w:val="00675182"/>
    <w:rsid w:val="00682499"/>
    <w:rsid w:val="00692DD6"/>
    <w:rsid w:val="006B2D3A"/>
    <w:rsid w:val="006C3532"/>
    <w:rsid w:val="006F15C5"/>
    <w:rsid w:val="00715882"/>
    <w:rsid w:val="00731717"/>
    <w:rsid w:val="007328E9"/>
    <w:rsid w:val="0076311D"/>
    <w:rsid w:val="00780D3A"/>
    <w:rsid w:val="007C56BF"/>
    <w:rsid w:val="007E395A"/>
    <w:rsid w:val="007F65DE"/>
    <w:rsid w:val="00813E75"/>
    <w:rsid w:val="008144BF"/>
    <w:rsid w:val="00823AD0"/>
    <w:rsid w:val="00830BB4"/>
    <w:rsid w:val="0083664A"/>
    <w:rsid w:val="008447F6"/>
    <w:rsid w:val="00847443"/>
    <w:rsid w:val="00872112"/>
    <w:rsid w:val="00873AEA"/>
    <w:rsid w:val="0089451E"/>
    <w:rsid w:val="008B5E2B"/>
    <w:rsid w:val="008C2090"/>
    <w:rsid w:val="008C287C"/>
    <w:rsid w:val="008D0C13"/>
    <w:rsid w:val="008F17D6"/>
    <w:rsid w:val="0091150E"/>
    <w:rsid w:val="00921E57"/>
    <w:rsid w:val="009417B4"/>
    <w:rsid w:val="009467A0"/>
    <w:rsid w:val="0095685A"/>
    <w:rsid w:val="00956A61"/>
    <w:rsid w:val="00974C7F"/>
    <w:rsid w:val="00981FCD"/>
    <w:rsid w:val="009C2883"/>
    <w:rsid w:val="009C33EE"/>
    <w:rsid w:val="009D34A9"/>
    <w:rsid w:val="009E26A7"/>
    <w:rsid w:val="009F0001"/>
    <w:rsid w:val="00A104A1"/>
    <w:rsid w:val="00A1757A"/>
    <w:rsid w:val="00A22CDA"/>
    <w:rsid w:val="00A273F1"/>
    <w:rsid w:val="00A31029"/>
    <w:rsid w:val="00A63B53"/>
    <w:rsid w:val="00A879B4"/>
    <w:rsid w:val="00A96CF0"/>
    <w:rsid w:val="00AA4498"/>
    <w:rsid w:val="00AA68FE"/>
    <w:rsid w:val="00AB0E66"/>
    <w:rsid w:val="00AE4F07"/>
    <w:rsid w:val="00AF0775"/>
    <w:rsid w:val="00B00BE0"/>
    <w:rsid w:val="00B07B97"/>
    <w:rsid w:val="00B33397"/>
    <w:rsid w:val="00B40919"/>
    <w:rsid w:val="00B412C7"/>
    <w:rsid w:val="00B51951"/>
    <w:rsid w:val="00B60726"/>
    <w:rsid w:val="00B843AF"/>
    <w:rsid w:val="00B959BE"/>
    <w:rsid w:val="00BB25A7"/>
    <w:rsid w:val="00BB5FBD"/>
    <w:rsid w:val="00C216EF"/>
    <w:rsid w:val="00C377FA"/>
    <w:rsid w:val="00C63F5B"/>
    <w:rsid w:val="00C76A0D"/>
    <w:rsid w:val="00C929DC"/>
    <w:rsid w:val="00C94CC2"/>
    <w:rsid w:val="00CA007F"/>
    <w:rsid w:val="00CD30DF"/>
    <w:rsid w:val="00CD51CE"/>
    <w:rsid w:val="00CE28B4"/>
    <w:rsid w:val="00CE36C5"/>
    <w:rsid w:val="00D10E45"/>
    <w:rsid w:val="00D2174F"/>
    <w:rsid w:val="00D371F5"/>
    <w:rsid w:val="00D55028"/>
    <w:rsid w:val="00D56219"/>
    <w:rsid w:val="00D62BB1"/>
    <w:rsid w:val="00D9521A"/>
    <w:rsid w:val="00D9729E"/>
    <w:rsid w:val="00D97A2C"/>
    <w:rsid w:val="00DB1909"/>
    <w:rsid w:val="00DD36D1"/>
    <w:rsid w:val="00DD47FE"/>
    <w:rsid w:val="00E26819"/>
    <w:rsid w:val="00E33BE8"/>
    <w:rsid w:val="00E36751"/>
    <w:rsid w:val="00E42AA0"/>
    <w:rsid w:val="00E734D4"/>
    <w:rsid w:val="00E76679"/>
    <w:rsid w:val="00E7772D"/>
    <w:rsid w:val="00E90C34"/>
    <w:rsid w:val="00EB74E5"/>
    <w:rsid w:val="00EE38A2"/>
    <w:rsid w:val="00EF47F8"/>
    <w:rsid w:val="00EF6CE3"/>
    <w:rsid w:val="00F2630C"/>
    <w:rsid w:val="00F40D21"/>
    <w:rsid w:val="00F41B0F"/>
    <w:rsid w:val="00F56172"/>
    <w:rsid w:val="00F603CD"/>
    <w:rsid w:val="00F72363"/>
    <w:rsid w:val="00F97933"/>
    <w:rsid w:val="00FC5437"/>
    <w:rsid w:val="00FD5693"/>
    <w:rsid w:val="00FE56E0"/>
    <w:rsid w:val="00FF25A3"/>
    <w:rsid w:val="00FF2A46"/>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5D14F7"/>
    <w:pPr>
      <w:widowControl w:val="0"/>
      <w:autoSpaceDE w:val="0"/>
      <w:autoSpaceDN w:val="0"/>
    </w:pPr>
    <w:rPr>
      <w:rFonts w:ascii="Arial" w:hAnsi="Arial" w:cs="Arial"/>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rsid w:val="005D14F7"/>
    <w:pPr>
      <w:tabs>
        <w:tab w:val="center" w:pos="4536"/>
        <w:tab w:val="right" w:pos="9072"/>
      </w:tabs>
    </w:pPr>
  </w:style>
  <w:style w:type="character" w:styleId="Seitenzahl">
    <w:name w:val="page number"/>
    <w:basedOn w:val="Absatz-Standardschriftart"/>
    <w:rsid w:val="005D14F7"/>
  </w:style>
  <w:style w:type="character" w:styleId="Hyperlink">
    <w:name w:val="Hyperlink"/>
    <w:basedOn w:val="Absatz-Standardschriftart"/>
    <w:rsid w:val="005D14F7"/>
    <w:rPr>
      <w:color w:val="0000FF"/>
      <w:u w:val="single"/>
    </w:rPr>
  </w:style>
  <w:style w:type="paragraph" w:styleId="Sprechblasentext">
    <w:name w:val="Balloon Text"/>
    <w:basedOn w:val="Standard"/>
    <w:semiHidden/>
    <w:rsid w:val="00981FCD"/>
    <w:rPr>
      <w:rFonts w:ascii="Tahoma" w:hAnsi="Tahoma" w:cs="Tahoma"/>
      <w:sz w:val="16"/>
      <w:szCs w:val="16"/>
    </w:rPr>
  </w:style>
  <w:style w:type="paragraph" w:styleId="Kopfzeile">
    <w:name w:val="header"/>
    <w:basedOn w:val="Standard"/>
    <w:rsid w:val="001D5301"/>
    <w:pPr>
      <w:tabs>
        <w:tab w:val="center" w:pos="4536"/>
        <w:tab w:val="right" w:pos="9072"/>
      </w:tabs>
    </w:pPr>
  </w:style>
  <w:style w:type="paragraph" w:styleId="Textkrper">
    <w:name w:val="Body Text"/>
    <w:basedOn w:val="Standard"/>
    <w:rsid w:val="00956A61"/>
    <w:pPr>
      <w:jc w:val="both"/>
    </w:pPr>
  </w:style>
  <w:style w:type="paragraph" w:customStyle="1" w:styleId="FormatvorlageErsteZeile08cm">
    <w:name w:val="Formatvorlage Erste Zeile:  08 cm"/>
    <w:basedOn w:val="Standard"/>
    <w:link w:val="FormatvorlageErsteZeile08cmZchn"/>
    <w:rsid w:val="00956A61"/>
    <w:pPr>
      <w:widowControl/>
      <w:autoSpaceDE/>
      <w:autoSpaceDN/>
      <w:ind w:firstLine="454"/>
    </w:pPr>
    <w:rPr>
      <w:rFonts w:cs="Times New Roman"/>
      <w:szCs w:val="20"/>
    </w:rPr>
  </w:style>
  <w:style w:type="character" w:customStyle="1" w:styleId="FormatvorlageErsteZeile08cmZchn">
    <w:name w:val="Formatvorlage Erste Zeile:  08 cm Zchn"/>
    <w:basedOn w:val="Absatz-Standardschriftart"/>
    <w:link w:val="FormatvorlageErsteZeile08cm"/>
    <w:rsid w:val="00956A61"/>
    <w:rPr>
      <w:rFonts w:ascii="Arial" w:hAnsi="Arial"/>
      <w:sz w:val="24"/>
      <w:lang w:val="de-DE" w:eastAsia="de-DE" w:bidi="ar-SA"/>
    </w:rPr>
  </w:style>
  <w:style w:type="character" w:customStyle="1" w:styleId="tw4winMark">
    <w:name w:val="tw4winMark"/>
    <w:uiPriority w:val="99"/>
    <w:rsid w:val="003059AF"/>
    <w:rPr>
      <w:rFonts w:ascii="Courier New" w:hAnsi="Courier New"/>
      <w:vanish/>
      <w:color w:val="800080"/>
      <w:vertAlign w:val="sub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5D14F7"/>
    <w:pPr>
      <w:widowControl w:val="0"/>
      <w:autoSpaceDE w:val="0"/>
      <w:autoSpaceDN w:val="0"/>
    </w:pPr>
    <w:rPr>
      <w:rFonts w:ascii="Arial" w:hAnsi="Arial" w:cs="Arial"/>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rsid w:val="005D14F7"/>
    <w:pPr>
      <w:tabs>
        <w:tab w:val="center" w:pos="4536"/>
        <w:tab w:val="right" w:pos="9072"/>
      </w:tabs>
    </w:pPr>
  </w:style>
  <w:style w:type="character" w:styleId="Seitenzahl">
    <w:name w:val="page number"/>
    <w:basedOn w:val="Absatz-Standardschriftart"/>
    <w:rsid w:val="005D14F7"/>
  </w:style>
  <w:style w:type="character" w:styleId="Hyperlink">
    <w:name w:val="Hyperlink"/>
    <w:basedOn w:val="Absatz-Standardschriftart"/>
    <w:rsid w:val="005D14F7"/>
    <w:rPr>
      <w:color w:val="0000FF"/>
      <w:u w:val="single"/>
    </w:rPr>
  </w:style>
  <w:style w:type="paragraph" w:styleId="Sprechblasentext">
    <w:name w:val="Balloon Text"/>
    <w:basedOn w:val="Standard"/>
    <w:semiHidden/>
    <w:rsid w:val="00981FCD"/>
    <w:rPr>
      <w:rFonts w:ascii="Tahoma" w:hAnsi="Tahoma" w:cs="Tahoma"/>
      <w:sz w:val="16"/>
      <w:szCs w:val="16"/>
    </w:rPr>
  </w:style>
  <w:style w:type="paragraph" w:styleId="Kopfzeile">
    <w:name w:val="header"/>
    <w:basedOn w:val="Standard"/>
    <w:rsid w:val="001D5301"/>
    <w:pPr>
      <w:tabs>
        <w:tab w:val="center" w:pos="4536"/>
        <w:tab w:val="right" w:pos="9072"/>
      </w:tabs>
    </w:pPr>
  </w:style>
  <w:style w:type="paragraph" w:styleId="Textkrper">
    <w:name w:val="Body Text"/>
    <w:basedOn w:val="Standard"/>
    <w:rsid w:val="00956A61"/>
    <w:pPr>
      <w:jc w:val="both"/>
    </w:pPr>
  </w:style>
  <w:style w:type="paragraph" w:customStyle="1" w:styleId="FormatvorlageErsteZeile08cm">
    <w:name w:val="Formatvorlage Erste Zeile:  08 cm"/>
    <w:basedOn w:val="Standard"/>
    <w:link w:val="FormatvorlageErsteZeile08cmZchn"/>
    <w:rsid w:val="00956A61"/>
    <w:pPr>
      <w:widowControl/>
      <w:autoSpaceDE/>
      <w:autoSpaceDN/>
      <w:ind w:firstLine="454"/>
    </w:pPr>
    <w:rPr>
      <w:rFonts w:cs="Times New Roman"/>
      <w:szCs w:val="20"/>
    </w:rPr>
  </w:style>
  <w:style w:type="character" w:customStyle="1" w:styleId="FormatvorlageErsteZeile08cmZchn">
    <w:name w:val="Formatvorlage Erste Zeile:  08 cm Zchn"/>
    <w:basedOn w:val="Absatz-Standardschriftart"/>
    <w:link w:val="FormatvorlageErsteZeile08cm"/>
    <w:rsid w:val="00956A61"/>
    <w:rPr>
      <w:rFonts w:ascii="Arial" w:hAnsi="Arial"/>
      <w:sz w:val="24"/>
      <w:lang w:val="de-DE" w:eastAsia="de-DE" w:bidi="ar-SA"/>
    </w:rPr>
  </w:style>
  <w:style w:type="character" w:customStyle="1" w:styleId="tw4winMark">
    <w:name w:val="tw4winMark"/>
    <w:uiPriority w:val="99"/>
    <w:rsid w:val="003059AF"/>
    <w:rPr>
      <w:rFonts w:ascii="Courier New" w:hAnsi="Courier New"/>
      <w:vanish/>
      <w:color w:val="800080"/>
      <w:vertAlign w:val="sub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sm.de"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vsm.de"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mailto:info@vsm.de" TargetMode="External"/><Relationship Id="rId1" Type="http://schemas.openxmlformats.org/officeDocument/2006/relationships/hyperlink" Target="http://www.vsm.e.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F89925-B863-4B4D-96CC-5A7FEF1D5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945</Words>
  <Characters>5302</Characters>
  <Application>Microsoft Office Word</Application>
  <DocSecurity>0</DocSecurity>
  <Lines>44</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European shipbuilders stabilize their position while shipyards in Asia expand capacities</vt:lpstr>
      <vt:lpstr>European shipbuilders stabilize their position while shipyards in Asia expand capacities</vt:lpstr>
    </vt:vector>
  </TitlesOfParts>
  <Company>VSM</Company>
  <LinksUpToDate>false</LinksUpToDate>
  <CharactersWithSpaces>6235</CharactersWithSpaces>
  <SharedDoc>false</SharedDoc>
  <HLinks>
    <vt:vector size="24" baseType="variant">
      <vt:variant>
        <vt:i4>1376308</vt:i4>
      </vt:variant>
      <vt:variant>
        <vt:i4>3</vt:i4>
      </vt:variant>
      <vt:variant>
        <vt:i4>0</vt:i4>
      </vt:variant>
      <vt:variant>
        <vt:i4>5</vt:i4>
      </vt:variant>
      <vt:variant>
        <vt:lpwstr>mailto:info@vsm.de</vt:lpwstr>
      </vt:variant>
      <vt:variant>
        <vt:lpwstr/>
      </vt:variant>
      <vt:variant>
        <vt:i4>8061032</vt:i4>
      </vt:variant>
      <vt:variant>
        <vt:i4>0</vt:i4>
      </vt:variant>
      <vt:variant>
        <vt:i4>0</vt:i4>
      </vt:variant>
      <vt:variant>
        <vt:i4>5</vt:i4>
      </vt:variant>
      <vt:variant>
        <vt:lpwstr>http://www.vsm.de/</vt:lpwstr>
      </vt:variant>
      <vt:variant>
        <vt:lpwstr/>
      </vt:variant>
      <vt:variant>
        <vt:i4>1376308</vt:i4>
      </vt:variant>
      <vt:variant>
        <vt:i4>9</vt:i4>
      </vt:variant>
      <vt:variant>
        <vt:i4>0</vt:i4>
      </vt:variant>
      <vt:variant>
        <vt:i4>5</vt:i4>
      </vt:variant>
      <vt:variant>
        <vt:lpwstr>mailto:info@vsm.de</vt:lpwstr>
      </vt:variant>
      <vt:variant>
        <vt:lpwstr/>
      </vt:variant>
      <vt:variant>
        <vt:i4>2293795</vt:i4>
      </vt:variant>
      <vt:variant>
        <vt:i4>6</vt:i4>
      </vt:variant>
      <vt:variant>
        <vt:i4>0</vt:i4>
      </vt:variant>
      <vt:variant>
        <vt:i4>5</vt:i4>
      </vt:variant>
      <vt:variant>
        <vt:lpwstr>http://www.vsm.e.v/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European shipbuilders stabilize their position while shipyards in Asia expand capacities</dc:title>
  <dc:creator>ehlert-larsen</dc:creator>
  <cp:lastModifiedBy>Kathrin Ehlert-Larsen</cp:lastModifiedBy>
  <cp:revision>11</cp:revision>
  <cp:lastPrinted>2012-05-15T09:57:00Z</cp:lastPrinted>
  <dcterms:created xsi:type="dcterms:W3CDTF">2012-05-14T08:21:00Z</dcterms:created>
  <dcterms:modified xsi:type="dcterms:W3CDTF">2012-05-15T10:01:00Z</dcterms:modified>
</cp:coreProperties>
</file>